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97F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eastAsia="黑体" w:cs="Times New Roman"/>
          <w:b w:val="0"/>
          <w:bCs w:val="0"/>
          <w:sz w:val="36"/>
          <w:szCs w:val="36"/>
          <w:lang w:eastAsia="zh-CN"/>
        </w:rPr>
      </w:pPr>
      <w:r>
        <w:rPr>
          <w:rFonts w:hint="default" w:ascii="Times New Roman" w:hAnsi="Times New Roman" w:eastAsia="黑体" w:cs="Times New Roman"/>
          <w:b w:val="0"/>
          <w:bCs w:val="0"/>
          <w:sz w:val="36"/>
          <w:szCs w:val="36"/>
        </w:rPr>
        <w:t>教育强国建设规划纲要（2024－2035年）</w:t>
      </w:r>
    </w:p>
    <w:p w14:paraId="19FDA9F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为深入贯彻党的二十大关于加快建设教育强国的战略部署，制定本规划纲要。</w:t>
      </w:r>
    </w:p>
    <w:p w14:paraId="5533170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一、总体要求</w:t>
      </w:r>
    </w:p>
    <w:p w14:paraId="6E60BC8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w:t>
      </w:r>
      <w:bookmarkStart w:id="0" w:name="_GoBack"/>
      <w:bookmarkEnd w:id="0"/>
      <w:r>
        <w:rPr>
          <w:rFonts w:hint="default" w:ascii="Times New Roman" w:hAnsi="Times New Roman" w:eastAsia="仿宋" w:cs="Times New Roman"/>
          <w:sz w:val="28"/>
          <w:szCs w:val="28"/>
        </w:rPr>
        <w:t>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w:t>
      </w:r>
    </w:p>
    <w:p w14:paraId="3F98B07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工作中要做到：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w:t>
      </w:r>
    </w:p>
    <w:p w14:paraId="674F8EC9">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主要目标</w:t>
      </w:r>
      <w:r>
        <w:rPr>
          <w:rFonts w:hint="default" w:ascii="Times New Roman" w:hAnsi="Times New Roman" w:eastAsia="仿宋" w:cs="Times New Roman"/>
          <w:sz w:val="28"/>
          <w:szCs w:val="28"/>
        </w:rPr>
        <w:t>是：</w:t>
      </w:r>
      <w:r>
        <w:rPr>
          <w:rFonts w:hint="default" w:ascii="Times New Roman" w:hAnsi="Times New Roman" w:eastAsia="仿宋" w:cs="Times New Roman"/>
          <w:b/>
          <w:bCs/>
          <w:sz w:val="28"/>
          <w:szCs w:val="28"/>
        </w:rPr>
        <w:t>到2027年</w:t>
      </w:r>
      <w:r>
        <w:rPr>
          <w:rFonts w:hint="default" w:ascii="Times New Roman" w:hAnsi="Times New Roman" w:eastAsia="仿宋" w:cs="Times New Roman"/>
          <w:sz w:val="28"/>
          <w:szCs w:val="28"/>
        </w:rPr>
        <w:t>，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w:t>
      </w:r>
      <w:r>
        <w:rPr>
          <w:rFonts w:hint="default" w:ascii="Times New Roman" w:hAnsi="Times New Roman" w:eastAsia="仿宋" w:cs="Times New Roman"/>
          <w:b/>
          <w:bCs/>
          <w:sz w:val="28"/>
          <w:szCs w:val="28"/>
        </w:rPr>
        <w:t>到2035年</w:t>
      </w:r>
      <w:r>
        <w:rPr>
          <w:rFonts w:hint="default" w:ascii="Times New Roman" w:hAnsi="Times New Roman" w:eastAsia="仿宋" w:cs="Times New Roman"/>
          <w:sz w:val="28"/>
          <w:szCs w:val="28"/>
        </w:rPr>
        <w:t>，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w:t>
      </w:r>
    </w:p>
    <w:p w14:paraId="54ABB09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二、塑造立德树人新格局，培养担当民族复兴大任的时代新人</w:t>
      </w:r>
    </w:p>
    <w:p w14:paraId="79A7842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（一）加强和改进新时代学校思想政治教育。</w:t>
      </w:r>
      <w:r>
        <w:rPr>
          <w:rFonts w:hint="default" w:ascii="Times New Roman" w:hAnsi="Times New Roman" w:eastAsia="仿宋" w:cs="Times New Roman"/>
          <w:sz w:val="28"/>
          <w:szCs w:val="28"/>
        </w:rPr>
        <w:t>坚持不懈用习近平新时代中国特色社会主义思想铸魂育人，加强习近平总书记关于教育的重要论述的学理阐释。实施新时代立德树人工程，坚持思政课建设与党的创新理论武装同步推进，加快构建以习近平新时代中国特色社会主义思想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思政课课程标准，整体优化设计高校思政课课程方案，推进大中小学思政课一体化改革创新。打造一批“大思政课”品牌。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领导干部进校园开展思想政治教育长效机制，开展教育系统党员教育基本培训。增强学校基层党组织政治功能和组织功能，发挥战斗堡垒作用。</w:t>
      </w:r>
    </w:p>
    <w:p w14:paraId="1CDAA59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（二）加强党的创新理论体系化学理化研究阐释和成果应用。</w:t>
      </w:r>
      <w:r>
        <w:rPr>
          <w:rFonts w:hint="default" w:ascii="Times New Roman" w:hAnsi="Times New Roman" w:eastAsia="仿宋" w:cs="Times New Roman"/>
          <w:sz w:val="28"/>
          <w:szCs w:val="28"/>
        </w:rPr>
        <w:t>深入阐释党的创新理论科学内涵和实践要求，建强马克思主义理论学科，构建学科体系、学术体系、话语体系。全面推动党的创新理论研究成果转化为相应的学科方向和课程教材，将新时代伟大变革成功案例及其蕴含的道理学理哲理融入学校思想政治教育。</w:t>
      </w:r>
    </w:p>
    <w:p w14:paraId="1A283E7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（三）拓展实践育人和网络育人空间和阵地。</w:t>
      </w:r>
      <w:r>
        <w:rPr>
          <w:rFonts w:hint="default" w:ascii="Times New Roman" w:hAnsi="Times New Roman" w:eastAsia="仿宋" w:cs="Times New Roman"/>
          <w:sz w:val="28"/>
          <w:szCs w:val="28"/>
        </w:rPr>
        <w:t>统筹推动价值引领、实践体验、环境营造，探索课上课下协同、校内校外一体、线上线下融合的育人机制。组织学生体验感悟新时代生动实践和伟大成就，增加实践教学比重，充分发挥红色资源育人功能，支持学生参加红色研学之旅。推动思想政治工作和信息技术深度融合，打造网络思想政治教育特色品牌，加强青少年学生网络安全意识、文明素养、行为习惯等教育，塑造有利于青少年健康成长的网络空间和育人生态。</w:t>
      </w:r>
    </w:p>
    <w:p w14:paraId="1D35AF4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（四）促进学生健康成长、全面发展。</w:t>
      </w:r>
      <w:r>
        <w:rPr>
          <w:rFonts w:hint="default" w:ascii="Times New Roman" w:hAnsi="Times New Roman" w:eastAsia="仿宋" w:cs="Times New Roman"/>
          <w:sz w:val="28"/>
          <w:szCs w:val="28"/>
        </w:rPr>
        <w:t>深入实施素质教育，健全德智体美劳全面培养体系，加快补齐体育、美育、劳动教育短板。落实健康第一教育理念，实施学生体质强健计划，中小学生每天综合体育活动时间不低于2小时，加强校园足球建设，有效控制近视率、肥胖率。推进学校美育浸润行动。实施劳动习惯养成计划，提升学生动手实践能力、解决复杂问题能力和社会适应能力。普及心理健康教育，建立全国学生心理健康监测预警系统，分学段完善服务工作机制。加强宪法法治教育、国家安全教育、国防教育。深入实施青少年学生读书行动。</w:t>
      </w:r>
    </w:p>
    <w:p w14:paraId="5815F6D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（五）打造培根铸魂、启智增慧的高质量教材。</w:t>
      </w:r>
      <w:r>
        <w:rPr>
          <w:rFonts w:hint="default" w:ascii="Times New Roman" w:hAnsi="Times New Roman" w:eastAsia="仿宋" w:cs="Times New Roman"/>
          <w:sz w:val="28"/>
          <w:szCs w:val="28"/>
        </w:rPr>
        <w:t>落实教材建设国家事权，体现党和国家意志。加强新时代马克思主义理论研究和建设工程重点教材建设。推进思政课教材建设。深入总结新时代伟大实践，推出“中国系列”原创教材，打造自主教材体系。开发一批基础教育科学教材，打造一批职业教育优质教材，建设一批本科和研究生一流核心教材，遴选引进一批理工农医学科前沿优质教材。加快推进教材数字化转型。完善教材管理体制，健全国家、地方、学校、出版单位分级分类负责机制。完善教材建设相关表彰奖励制度。规范教辅材料和课外读物管理。</w:t>
      </w:r>
    </w:p>
    <w:p w14:paraId="1341BA5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（六）推广普及国家通用语言文字。</w:t>
      </w:r>
      <w:r>
        <w:rPr>
          <w:rFonts w:hint="default" w:ascii="Times New Roman" w:hAnsi="Times New Roman" w:eastAsia="仿宋" w:cs="Times New Roman"/>
          <w:sz w:val="28"/>
          <w:szCs w:val="28"/>
        </w:rPr>
        <w:t>实施国家通用语言文字普及攻坚和质量提升行动。提高全民语言文化素养。健全语言文字规范标准体系，建设新型国家语料库。开展语言国情国力调查。加强网络空间语言文字规范引导。深入实施国家语言文化传承发展系列工程。加强与港澳台语言文化交流。</w:t>
      </w:r>
    </w:p>
    <w:p w14:paraId="13600B4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三、办强办优基础教育，夯实全面提升国民素质战略基点</w:t>
      </w:r>
    </w:p>
    <w:p w14:paraId="530B1892">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（七）健全与人口变化相适应的基础教育资源统筹调配机制。</w:t>
      </w:r>
      <w:r>
        <w:rPr>
          <w:rFonts w:hint="default" w:ascii="Times New Roman" w:hAnsi="Times New Roman" w:eastAsia="仿宋" w:cs="Times New Roman"/>
          <w:sz w:val="28"/>
          <w:szCs w:val="28"/>
        </w:rPr>
        <w:t>深入实施基础教育扩优提质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段教育资源，加强跨学段动态调整和余缺调配，扩大学龄人口净流入城镇教育资源供给。支持人口20万以上县（市、区、旗）办好一所达到标准的特殊教育学校，鼓励有条件的地区建设十五年一贯制特殊教育学校。加强专门学校建设和专门教育工作。</w:t>
      </w:r>
    </w:p>
    <w:p w14:paraId="0830EBB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（八）推动义务教育优质均衡发展和城乡一体化。</w:t>
      </w:r>
      <w:r>
        <w:rPr>
          <w:rFonts w:hint="default" w:ascii="Times New Roman" w:hAnsi="Times New Roman" w:eastAsia="仿宋" w:cs="Times New Roman"/>
          <w:sz w:val="28"/>
          <w:szCs w:val="28"/>
        </w:rPr>
        <w:t>加强义务教育学校标准化建设，逐步缩小城乡、区域、校际、群体差距。促进学校优秀领导人员和骨干教师区域内统筹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控辍保学常态化机制。持续做好国家乡村振兴重点帮扶县教育人才“组团式”帮扶工作。深入开展县域义务教育优质均衡督导评估，有序推进市域义务教育优质均衡发展。</w:t>
      </w:r>
    </w:p>
    <w:p w14:paraId="1B627B8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（九）促进学前教育普及普惠和高中阶段学校多样化发展。</w:t>
      </w:r>
      <w:r>
        <w:rPr>
          <w:rFonts w:hint="default" w:ascii="Times New Roman" w:hAnsi="Times New Roman" w:eastAsia="仿宋" w:cs="Times New Roman"/>
          <w:sz w:val="28"/>
          <w:szCs w:val="28"/>
        </w:rPr>
        <w:t>稳步增加公办幼儿园学位供给，落实和完善普惠性民办幼儿园扶持政策。支持有条件的幼儿园招收2至3岁幼儿。统筹推进市域内高中阶段学校多样化发展，加快扩大普通高中教育资源供给。探索设立一批以科学教育为特色的普通高中，办好综合高中。深入实施县域普通高中振兴计划。</w:t>
      </w:r>
    </w:p>
    <w:p w14:paraId="1E71DA22">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（十）统筹推进“双减”和教育教学质量提升。</w:t>
      </w:r>
      <w:r>
        <w:rPr>
          <w:rFonts w:hint="default" w:ascii="Times New Roman" w:hAnsi="Times New Roman" w:eastAsia="仿宋" w:cs="Times New Roman"/>
          <w:sz w:val="28"/>
          <w:szCs w:val="28"/>
        </w:rPr>
        <w:t>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w:t>
      </w:r>
    </w:p>
    <w:p w14:paraId="3A7505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四、增强高等教育综合实力，打造战略引领力量</w:t>
      </w:r>
    </w:p>
    <w:p w14:paraId="5707F79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（十一）分类推进高校改革发展。</w:t>
      </w:r>
      <w:r>
        <w:rPr>
          <w:rFonts w:hint="default" w:ascii="Times New Roman" w:hAnsi="Times New Roman" w:eastAsia="仿宋" w:cs="Times New Roman"/>
          <w:sz w:val="28"/>
          <w:szCs w:val="28"/>
        </w:rPr>
        <w:t>实施高等教育综合改革试点。按照研究型、应用型、技能型等基本办学定位，区分综合性、特色化基本方向，明确各类高校发展定位，支持理工农医、人文社科、艺术体育等高校差异化发展。建立分类管理、分类评价机制，在办学条件、招生计划、学位点授权、经费投入等方面分类支持。根据不同类型高校功能定位、实际贡献、特色优势，建立资源配置激励机制，引导高校在不同领域不同赛道发挥优势、办出特色。</w:t>
      </w:r>
    </w:p>
    <w:p w14:paraId="45EBA63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（十二）优化高等教育布局。</w:t>
      </w:r>
      <w:r>
        <w:rPr>
          <w:rFonts w:hint="default" w:ascii="Times New Roman" w:hAnsi="Times New Roman" w:eastAsia="仿宋" w:cs="Times New Roman"/>
          <w:sz w:val="28"/>
          <w:szCs w:val="28"/>
        </w:rPr>
        <w:t>统筹中央部门所属高校和地方高校发展。加大高水平研究型大学建设力度，加快推进地方高校应用型转型。支持部省合建高校加快发展，优化省部共建高校区域布局。新增高等教育资源适度向中西部地区、民族地区倾斜。完善对口支援工作机制。鼓励国外高水平理工类大学来华合作办学。支持高校改善学生宿舍等办学条件。有序扩大优质本科教育招生规模，扩大研究生培养规模，稳步提高博士研究生占比，大力发展专业学位研究生教育。</w:t>
      </w:r>
    </w:p>
    <w:p w14:paraId="1C4A8391">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（十三）加快建设中国特色、世界一流的大学和优势学科。</w:t>
      </w:r>
      <w:r>
        <w:rPr>
          <w:rFonts w:hint="default" w:ascii="Times New Roman" w:hAnsi="Times New Roman" w:eastAsia="仿宋" w:cs="Times New Roman"/>
          <w:sz w:val="28"/>
          <w:szCs w:val="28"/>
        </w:rPr>
        <w:t>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吸引集聚高层次人才的能力。</w:t>
      </w:r>
    </w:p>
    <w:p w14:paraId="0F3C4F21">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（十四）完善拔尖创新人才发现和培养机制。</w:t>
      </w:r>
      <w:r>
        <w:rPr>
          <w:rFonts w:hint="default" w:ascii="Times New Roman" w:hAnsi="Times New Roman" w:eastAsia="仿宋" w:cs="Times New Roman"/>
          <w:sz w:val="28"/>
          <w:szCs w:val="28"/>
        </w:rPr>
        <w:t>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工贯通、医工融合、农工交叉，建强国家卓越工程师学院、国家产教融合创新平台等，深入实施国家卓越医师人才培养计划。打造一流核心课程、教材、实践项目和师资团队。</w:t>
      </w:r>
    </w:p>
    <w:p w14:paraId="1EAAD9B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（十五）构建中国哲学社会科学自主知识体系。</w:t>
      </w:r>
      <w:r>
        <w:rPr>
          <w:rFonts w:hint="default" w:ascii="Times New Roman" w:hAnsi="Times New Roman" w:eastAsia="仿宋" w:cs="Times New Roman"/>
          <w:sz w:val="28"/>
          <w:szCs w:val="28"/>
        </w:rPr>
        <w:t>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学社会科学创新平台和创新团队建设，加强全国重点马克思主义学院建设，建好高校哲学社会科学实验室。</w:t>
      </w:r>
    </w:p>
    <w:p w14:paraId="1328B4F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五、培育壮大国家战略科技力量，有力支撑高水平科技自立自强</w:t>
      </w:r>
    </w:p>
    <w:p w14:paraId="13B6A6A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（十六）实施基础学科和交叉学科突破计划。</w:t>
      </w:r>
      <w:r>
        <w:rPr>
          <w:rFonts w:hint="default" w:ascii="Times New Roman" w:hAnsi="Times New Roman" w:eastAsia="仿宋" w:cs="Times New Roman"/>
          <w:sz w:val="28"/>
          <w:szCs w:val="28"/>
        </w:rPr>
        <w:t>强化高水平研究型大学国家基础研究主力军和重大科技突破策源地作用，提高基础研究组织化程度，建立科技创新与人才培养相互支撑、带动学科高质量发展的有效机制。打造校企地联合创新平台，加强重大科技基础设施、科技资源库建设，打造一流科技领军人才和创新团队，实现基础学科突破，引领学科交叉融合再创新。</w:t>
      </w:r>
    </w:p>
    <w:p w14:paraId="66D6C8B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（十七）促进青年科技人才成长发展。</w:t>
      </w:r>
      <w:r>
        <w:rPr>
          <w:rFonts w:hint="default" w:ascii="Times New Roman" w:hAnsi="Times New Roman" w:eastAsia="仿宋" w:cs="Times New Roman"/>
          <w:sz w:val="28"/>
          <w:szCs w:val="28"/>
        </w:rPr>
        <w:t>大力弘扬科学家精神，营造鼓励探索、宽容失败的良好环境。培养造就一批高水平师资和学术大师。</w:t>
      </w:r>
    </w:p>
    <w:p w14:paraId="4A76D7B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（十八）提高高校科技成果转化效能。</w:t>
      </w:r>
      <w:r>
        <w:rPr>
          <w:rFonts w:hint="default" w:ascii="Times New Roman" w:hAnsi="Times New Roman" w:eastAsia="仿宋" w:cs="Times New Roman"/>
          <w:sz w:val="28"/>
          <w:szCs w:val="28"/>
        </w:rPr>
        <w:t>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w:t>
      </w:r>
    </w:p>
    <w:p w14:paraId="049D9B2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（十九）建设高等研究院开辟振兴区域发展新赛道。</w:t>
      </w:r>
      <w:r>
        <w:rPr>
          <w:rFonts w:hint="default" w:ascii="Times New Roman" w:hAnsi="Times New Roman" w:eastAsia="仿宋" w:cs="Times New Roman"/>
          <w:sz w:val="28"/>
          <w:szCs w:val="28"/>
        </w:rPr>
        <w:t>面向中西部、东北等地区布局建设高等研究院，促进高水平高校、优势学科与重点行业和头部企业强强联合，以需求定项目、以项目定团队，构建人才培养、科学研究和技术转移为一体的产教融合科教融汇新样本。</w:t>
      </w:r>
    </w:p>
    <w:p w14:paraId="7F1F4AE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六、加快建设现代职业教育体系，培养大国工匠、能工巧匠、高技能人才</w:t>
      </w:r>
    </w:p>
    <w:p w14:paraId="1030521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（二十）塑造多元办学、产教融合新形态。</w:t>
      </w:r>
      <w:r>
        <w:rPr>
          <w:rFonts w:hint="default" w:ascii="Times New Roman" w:hAnsi="Times New Roman" w:eastAsia="仿宋" w:cs="Times New Roman"/>
          <w:sz w:val="28"/>
          <w:szCs w:val="28"/>
        </w:rPr>
        <w:t>深入推进省域现代职业教育体系新模式试点，落实地方政府统筹发展职业教育主体责任。建强市域产教联合体、行业产教融合共同体，优化与区域发展相协调、与产业布局相衔接的职业教育布局。推动有条件地区将高等职业教育资源下沉到市县。鼓励企业举办或参与举办职业教育，推动校企在办学、育人、就业等方面深度合作。健全德技并修、工学结合育人机制，在产业一线培养更多大国工匠。</w:t>
      </w:r>
    </w:p>
    <w:p w14:paraId="7F29F11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（二十一）以职普融通拓宽学生成长成才通道。</w:t>
      </w:r>
      <w:r>
        <w:rPr>
          <w:rFonts w:hint="default" w:ascii="Times New Roman" w:hAnsi="Times New Roman" w:eastAsia="仿宋" w:cs="Times New Roman"/>
          <w:sz w:val="28"/>
          <w:szCs w:val="28"/>
        </w:rPr>
        <w:t>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w:t>
      </w:r>
    </w:p>
    <w:p w14:paraId="38A6D867">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（二十二）提升职业学校关键办学能力。</w:t>
      </w:r>
      <w:r>
        <w:rPr>
          <w:rFonts w:hint="default" w:ascii="Times New Roman" w:hAnsi="Times New Roman" w:eastAsia="仿宋" w:cs="Times New Roman"/>
          <w:sz w:val="28"/>
          <w:szCs w:val="28"/>
        </w:rPr>
        <w:t>优化实施高水平高等职业学校和专业建设计划，建设一批办学特色鲜明的高水平职业本科学校。加快推动职业学校办学条件全面达标。实施职业教育教学关键要素改革，系统推进专业、课程、教材、教师、实习实训改革，建设集实践教学、真实生产、技术服务功能于一体的实习实训基地。</w:t>
      </w:r>
    </w:p>
    <w:p w14:paraId="3F4547B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（二十三）优化技能人才成长政策环境。</w:t>
      </w:r>
      <w:r>
        <w:rPr>
          <w:rFonts w:hint="default" w:ascii="Times New Roman" w:hAnsi="Times New Roman" w:eastAsia="仿宋" w:cs="Times New Roman"/>
          <w:sz w:val="28"/>
          <w:szCs w:val="28"/>
        </w:rPr>
        <w:t>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w:t>
      </w:r>
    </w:p>
    <w:p w14:paraId="1F7343A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七、建设学习型社会，以教育数字化开辟发展新赛道、塑造发展新优势</w:t>
      </w:r>
    </w:p>
    <w:p w14:paraId="3D7CE6F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（二十四）提升终身学习公共服务水平。</w:t>
      </w:r>
      <w:r>
        <w:rPr>
          <w:rFonts w:hint="default" w:ascii="Times New Roman" w:hAnsi="Times New Roman" w:eastAsia="仿宋" w:cs="Times New Roman"/>
          <w:sz w:val="28"/>
          <w:szCs w:val="28"/>
        </w:rPr>
        <w:t>构建以资历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w:t>
      </w:r>
    </w:p>
    <w:p w14:paraId="069C6DF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（二十五）实施国家教育数字化战略。</w:t>
      </w:r>
      <w:r>
        <w:rPr>
          <w:rFonts w:hint="default" w:ascii="Times New Roman" w:hAnsi="Times New Roman" w:eastAsia="仿宋" w:cs="Times New Roman"/>
          <w:sz w:val="28"/>
          <w:szCs w:val="28"/>
        </w:rPr>
        <w:t>坚持应用导向、治理为基，推动集成化、智能化、国际化，建强用好国家智慧教育公共服务平台，建立横纵贯通、协同服务的数字教育体系。开发新型数字教育资源。建好国家教育大数据中心，搭建教育专网和算力共享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w:t>
      </w:r>
    </w:p>
    <w:p w14:paraId="6590E16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（二十六）促进人工智能助力教育变革。</w:t>
      </w:r>
      <w:r>
        <w:rPr>
          <w:rFonts w:hint="default" w:ascii="Times New Roman" w:hAnsi="Times New Roman" w:eastAsia="仿宋" w:cs="Times New Roman"/>
          <w:sz w:val="28"/>
          <w:szCs w:val="28"/>
        </w:rPr>
        <w:t>面向数字经济和未来产业发展，加强课程体系改革，优化学科专业设置。制定完善师生数字素养标准，深化人工智能助推教师队伍建设。打造人工智能教育大模型。建设云端学校等。建立基于大数据和人工智能支持的教育评价和科学决策制度。加强网络安全保障，强化数据安全、人工智能算法和伦理安全。</w:t>
      </w:r>
    </w:p>
    <w:p w14:paraId="4EC1D41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八、建设高素质专业化教师队伍，筑牢教育强国根基</w:t>
      </w:r>
    </w:p>
    <w:p w14:paraId="3EE1C37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（二十七）实施教育家精神铸魂强师行动。</w:t>
      </w:r>
      <w:r>
        <w:rPr>
          <w:rFonts w:hint="default" w:ascii="Times New Roman" w:hAnsi="Times New Roman" w:eastAsia="仿宋" w:cs="Times New Roman"/>
          <w:sz w:val="28"/>
          <w:szCs w:val="28"/>
        </w:rPr>
        <w:t>推动教育家精神融入教师培养培训全过程，贯穿课堂教学、科学研究、社会实践各环节，构建日常浸润、项目赋能、平台支撑的教师发展良好生态。加强教师队伍思想政治工作，加强教师党组织建设，发挥党员教师先锋模范作用。坚持师德师风第一标准，健全师德师风建设长效机制，严格落实师德失范“零容忍”。</w:t>
      </w:r>
    </w:p>
    <w:p w14:paraId="0D32BD11">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（二十八）提升教师专业素质能力。</w:t>
      </w:r>
      <w:r>
        <w:rPr>
          <w:rFonts w:hint="default" w:ascii="Times New Roman" w:hAnsi="Times New Roman" w:eastAsia="仿宋" w:cs="Times New Roman"/>
          <w:sz w:val="28"/>
          <w:szCs w:val="28"/>
        </w:rPr>
        <w:t>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研训体系。</w:t>
      </w:r>
    </w:p>
    <w:p w14:paraId="58B193D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（二十九）优化教师管理和资源配置。</w:t>
      </w:r>
      <w:r>
        <w:rPr>
          <w:rFonts w:hint="default" w:ascii="Times New Roman" w:hAnsi="Times New Roman" w:eastAsia="仿宋" w:cs="Times New Roman"/>
          <w:sz w:val="28"/>
          <w:szCs w:val="28"/>
        </w:rPr>
        <w:t>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银龄教师行动计划。推动博士后成为高校教师的重要来源。</w:t>
      </w:r>
    </w:p>
    <w:p w14:paraId="1801FE0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（三十）提高教师政治地位、社会地位、职业地位。</w:t>
      </w:r>
      <w:r>
        <w:rPr>
          <w:rFonts w:hint="default" w:ascii="Times New Roman" w:hAnsi="Times New Roman" w:eastAsia="仿宋" w:cs="Times New Roman"/>
          <w:sz w:val="28"/>
          <w:szCs w:val="28"/>
        </w:rPr>
        <w:t>保障教师课后服务工作合理待遇，优化教师工资结构，落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w:t>
      </w:r>
    </w:p>
    <w:p w14:paraId="280EDCB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九、深化教育综合改革，激发教育发展活力</w:t>
      </w:r>
    </w:p>
    <w:p w14:paraId="7E16926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（三十一）深化教育评价改革。</w:t>
      </w:r>
      <w:r>
        <w:rPr>
          <w:rFonts w:hint="default" w:ascii="Times New Roman" w:hAnsi="Times New Roman" w:eastAsia="仿宋" w:cs="Times New Roman"/>
          <w:sz w:val="28"/>
          <w:szCs w:val="28"/>
        </w:rPr>
        <w:t>各级党委和政府要树立正确政绩观，树立科学的教育评价导向，防止和纠正“分数至上”等偏差。有序推进中考改革。加快扩大优质高中招生指标到校，开展均衡派位招生试点。深化高考综合改革，构建引导学生德智体美劳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w:t>
      </w:r>
    </w:p>
    <w:p w14:paraId="73F84D1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（三十二）完善人才培养与经济社会发展需要适配机制。</w:t>
      </w:r>
      <w:r>
        <w:rPr>
          <w:rFonts w:hint="default" w:ascii="Times New Roman" w:hAnsi="Times New Roman" w:eastAsia="仿宋" w:cs="Times New Roman"/>
          <w:sz w:val="28"/>
          <w:szCs w:val="28"/>
        </w:rPr>
        <w:t>坚持总体适配、动态平衡、良性互动，完善人才需求预测预警机制，探索建立国家人才供需对接大数据平台，加强分行业分领域人才需求分析和有效对接，定期编制发布人才需求报告和人才需求目录。开展就业状况跟踪调查，强化就业状况与招生计划、人才培养联动，加强就业质量监测和评价反馈。超前布局、动态调整学科专业，优化办学资源配置，完善学生实习实践制度。加快构建高校毕业生高质量就业服务体系，促进高校毕业生高质量充分就业。</w:t>
      </w:r>
    </w:p>
    <w:p w14:paraId="4B7F9B99">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（三十三）提升依法治教和管理水平。</w:t>
      </w:r>
      <w:r>
        <w:rPr>
          <w:rFonts w:hint="default" w:ascii="Times New Roman" w:hAnsi="Times New Roman" w:eastAsia="仿宋" w:cs="Times New Roman"/>
          <w:sz w:val="28"/>
          <w:szCs w:val="28"/>
        </w:rPr>
        <w:t>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w:t>
      </w:r>
    </w:p>
    <w:p w14:paraId="567E18F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（三十四）健全教育战略性投入机制。</w:t>
      </w:r>
      <w:r>
        <w:rPr>
          <w:rFonts w:hint="default" w:ascii="Times New Roman" w:hAnsi="Times New Roman" w:eastAsia="仿宋" w:cs="Times New Roman"/>
          <w:sz w:val="28"/>
          <w:szCs w:val="28"/>
        </w:rPr>
        <w:t>各级政府要加大财政投入力度，建立预算拨款和绩效激励约束机制，确保财政一般公共预算教育支出逐年只增不减，确保按在校学生人数平均的一般公共预算教育支出逐年只增不减，保证国家财政性教育经费支出占国内生产总值比例高于4%。完善各级各类教育预算拨款制度，合理确定并适时提高相关拨款标准和投入水平，建立学生资助标准动态调整机制。逐步提高预算内投资用于教育的比重。优化完善教育领域相关转移支付。搭建高校、企业、社会深度融合的协同育人经费筹措合作机制。发挥各级教育基金会作用，引导规范社会力量投入和捐赠教育。完善非义务教育培养成本合理分担机制。完善覆盖全学段学生资助体系。完善教育经费统计体系。优化教育支出结构，强化经费监管和绩效评价。</w:t>
      </w:r>
    </w:p>
    <w:p w14:paraId="755695B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（三十五）构建教育科技人才一体统筹推进机制。</w:t>
      </w:r>
      <w:r>
        <w:rPr>
          <w:rFonts w:hint="default" w:ascii="Times New Roman" w:hAnsi="Times New Roman" w:eastAsia="仿宋" w:cs="Times New Roman"/>
          <w:sz w:val="28"/>
          <w:szCs w:val="28"/>
        </w:rPr>
        <w:t>加强主管部门定期会商，共同做好政策协调、项目统筹、资源配置。完善科教协同育人机制，加强创新资源统筹和力量组织。强化教育对科技和人才的支撑作用，教育布局和改革试点紧密对接北京、上海、粤港澳大湾区等国际科技创新中心建设，对接区域科技创新中心建设、国家高水平人才高地和吸引集聚人才平台建设，提升国家创新体系整体效能。</w:t>
      </w:r>
    </w:p>
    <w:p w14:paraId="59101CB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十、完善教育对外开放战略策略，建设具有全球影响力的重要教育中心</w:t>
      </w:r>
    </w:p>
    <w:p w14:paraId="30DA5EC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（三十六）提升全球人才培养和集聚能力。</w:t>
      </w:r>
      <w:r>
        <w:rPr>
          <w:rFonts w:hint="default" w:ascii="Times New Roman" w:hAnsi="Times New Roman" w:eastAsia="仿宋" w:cs="Times New Roman"/>
          <w:sz w:val="28"/>
          <w:szCs w:val="28"/>
        </w:rPr>
        <w:t>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w:t>
      </w:r>
    </w:p>
    <w:p w14:paraId="4D4881E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（三十七）扩大国际学术交流和教育科研合作。</w:t>
      </w:r>
      <w:r>
        <w:rPr>
          <w:rFonts w:hint="default" w:ascii="Times New Roman" w:hAnsi="Times New Roman" w:eastAsia="仿宋" w:cs="Times New Roman"/>
          <w:sz w:val="28"/>
          <w:szCs w:val="28"/>
        </w:rPr>
        <w:t>支持高水平研究型大学发起和参与国际大科学计划、建设大科学装置、主持重大国际科研项目，推动建设高水平高校学科创新引智基地、国际合作联合实验室。高质量推进国际产学研合作。积极参与开放科学国际合作。</w:t>
      </w:r>
    </w:p>
    <w:p w14:paraId="64ED1E9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楷体" w:cs="Times New Roman"/>
          <w:b/>
          <w:bCs/>
          <w:sz w:val="28"/>
          <w:szCs w:val="28"/>
        </w:rPr>
        <w:t>（三十八）积极参与全球教育治理。</w:t>
      </w:r>
      <w:r>
        <w:rPr>
          <w:rFonts w:hint="default" w:ascii="Times New Roman" w:hAnsi="Times New Roman" w:eastAsia="仿宋" w:cs="Times New Roman"/>
          <w:sz w:val="28"/>
          <w:szCs w:val="28"/>
        </w:rPr>
        <w:t>深化同联合国教科文组织等国际组织和多边机制合作。建立教育创新合作网络，支持国际STEM（科学、技术、工程、数学）教育研究所建设发展。支持国内高校设立教育类国际组织、学术联盟，打造具有国际影响力的学术期刊、系列指数和报告。设立区域全面经济伙伴关系国际教育合作区。实施中国教育品牌培育计划。</w:t>
      </w:r>
    </w:p>
    <w:p w14:paraId="2A4E4D0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十一、加强组织实施</w:t>
      </w:r>
    </w:p>
    <w:p w14:paraId="39E4E13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28"/>
          <w:szCs w:val="28"/>
        </w:rPr>
        <w:t>建设教育强国，必须完善党委统一领导、党政齐抓共管、部门各负其责的教育领导体制。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2AF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FE3C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4FE3C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A106A"/>
    <w:rsid w:val="340A106A"/>
    <w:rsid w:val="4F10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9092</Words>
  <Characters>9109</Characters>
  <Lines>0</Lines>
  <Paragraphs>0</Paragraphs>
  <TotalTime>26</TotalTime>
  <ScaleCrop>false</ScaleCrop>
  <LinksUpToDate>false</LinksUpToDate>
  <CharactersWithSpaces>9109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2025-05-27T00:44:00Z</dcterms:created>
  <dc:creator>千里之行</dc:creator>
  <cp:lastModifiedBy>陳國兵</cp:lastModifiedBy>
  <dcterms:modified xsi:type="dcterms:W3CDTF">2025-05-28T02:14:45Z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F88DDF996E844B7A8330A765340F9040_13</vt:lpwstr>
  </property>
  <property fmtid="{D5CDD505-2E9C-101B-9397-08002B2CF9AE}" pid="4" name="KSOTemplateDocerSaveRecord">
    <vt:lpwstr>eyJoZGlkIjoiN2Q3NDNhNjBkYTJlNTQ5Y2M3MzY3ZDc5Yzk1NjczNGEiLCJ1c2VySWQiOiI5Nzc2NjExNDIifQ==</vt:lpwstr>
  </property>
</Properties>
</file>